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Maląg</w:t>
      </w:r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695903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>, z późn.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>, sporządzonej w Nowym Jorku dnia 13 grudnia 2006 r. (Dz. U. z 2012 r. poz. 1169, z późn.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>, z późn.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>, z późn.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>ykorzystanych środków 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4" w:name="_Toc81227460"/>
      <w:bookmarkStart w:id="105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4"/>
      <w:bookmarkEnd w:id="105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8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późn.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3BB8" w14:textId="77777777" w:rsidR="00D0418C" w:rsidRDefault="00D0418C">
      <w:r>
        <w:separator/>
      </w:r>
    </w:p>
  </w:endnote>
  <w:endnote w:type="continuationSeparator" w:id="0">
    <w:p w14:paraId="5085B139" w14:textId="77777777" w:rsidR="00D0418C" w:rsidRDefault="00D0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695903" w:rsidRPr="00695903">
      <w:rPr>
        <w:rFonts w:hAnsi="Times New Roman"/>
        <w:noProof/>
        <w:sz w:val="22"/>
        <w:szCs w:val="22"/>
      </w:rPr>
      <w:t>21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BBE01" w14:textId="77777777" w:rsidR="00D0418C" w:rsidRDefault="00D0418C">
      <w:r>
        <w:separator/>
      </w:r>
    </w:p>
  </w:footnote>
  <w:footnote w:type="continuationSeparator" w:id="0">
    <w:p w14:paraId="28E55888" w14:textId="77777777" w:rsidR="00D0418C" w:rsidRDefault="00D0418C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9590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2F6D-13A2-4E34-89DB-EF241913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6601</Words>
  <Characters>43050</Characters>
  <Application>Microsoft Office Word</Application>
  <DocSecurity>0</DocSecurity>
  <Lines>358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Kamila Laszczyk-Kurek</cp:lastModifiedBy>
  <cp:revision>2</cp:revision>
  <cp:lastPrinted>2021-09-30T09:16:00Z</cp:lastPrinted>
  <dcterms:created xsi:type="dcterms:W3CDTF">2023-01-19T09:03:00Z</dcterms:created>
  <dcterms:modified xsi:type="dcterms:W3CDTF">2023-01-19T09:03:00Z</dcterms:modified>
</cp:coreProperties>
</file>